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4B4" w:rsidRDefault="00B724B4" w:rsidP="00B724B4">
      <w:pPr>
        <w:ind w:firstLine="709"/>
        <w:jc w:val="center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ПОЯСНИТЕЛЬНАЯ ЗАПИСКА К ОТЧЕТУ</w:t>
      </w:r>
    </w:p>
    <w:p w:rsidR="00B724B4" w:rsidRDefault="00B724B4" w:rsidP="00B724B4">
      <w:pPr>
        <w:ind w:firstLine="709"/>
        <w:jc w:val="center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КОНТРОЛЬНО-СЧЕТНОЙ ПАЛАТЫ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МУНИЦИПАЛЬНОГО РАЙОНА</w:t>
      </w:r>
    </w:p>
    <w:p w:rsidR="00B724B4" w:rsidRDefault="00B724B4" w:rsidP="00B724B4">
      <w:pPr>
        <w:ind w:firstLine="709"/>
        <w:jc w:val="center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за 2017 год</w:t>
      </w:r>
    </w:p>
    <w:p w:rsidR="00B724B4" w:rsidRDefault="00B724B4" w:rsidP="00B724B4">
      <w:pPr>
        <w:ind w:firstLine="709"/>
        <w:rPr>
          <w:color w:val="FF0000"/>
          <w:sz w:val="27"/>
          <w:szCs w:val="27"/>
        </w:rPr>
      </w:pP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Отчет о работе Контрольно-счетной палаты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муниципального района (далее – Контрольно-счетная палата) за 2017 год составлен в соответствии со статьей 21 Положения о Контрольно-счетной палате по форме, утвержденной решением Собрания депутатов Катав-Ивановского муниципального района от 14.12.2012 № 471 «Об утверждении форм годового отчета».</w:t>
      </w:r>
    </w:p>
    <w:p w:rsidR="00B724B4" w:rsidRDefault="00B724B4" w:rsidP="00B724B4">
      <w:pPr>
        <w:ind w:firstLine="709"/>
        <w:jc w:val="both"/>
        <w:rPr>
          <w:i/>
          <w:color w:val="FF0000"/>
          <w:sz w:val="27"/>
          <w:szCs w:val="27"/>
        </w:rPr>
      </w:pPr>
    </w:p>
    <w:p w:rsidR="00B724B4" w:rsidRDefault="00B724B4" w:rsidP="00B724B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i/>
          <w:color w:val="000000" w:themeColor="text1"/>
          <w:sz w:val="27"/>
          <w:szCs w:val="27"/>
        </w:rPr>
        <w:t>Общие положения и правовой статус</w:t>
      </w:r>
    </w:p>
    <w:p w:rsidR="00B724B4" w:rsidRDefault="00B724B4" w:rsidP="00B724B4">
      <w:pPr>
        <w:pStyle w:val="Default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В соответствии с Бюджетным кодексом Российской Федерации, Положением о Контрольно-счетной палате, Положением о бюджетном процессе </w:t>
      </w:r>
      <w:proofErr w:type="gramStart"/>
      <w:r>
        <w:rPr>
          <w:color w:val="000000" w:themeColor="text1"/>
          <w:sz w:val="27"/>
          <w:szCs w:val="27"/>
        </w:rPr>
        <w:t>в</w:t>
      </w:r>
      <w:proofErr w:type="gramEnd"/>
      <w:r>
        <w:rPr>
          <w:color w:val="000000" w:themeColor="text1"/>
          <w:sz w:val="27"/>
          <w:szCs w:val="27"/>
        </w:rPr>
        <w:t xml:space="preserve"> </w:t>
      </w:r>
      <w:proofErr w:type="gramStart"/>
      <w:r>
        <w:rPr>
          <w:color w:val="000000" w:themeColor="text1"/>
          <w:sz w:val="27"/>
          <w:szCs w:val="27"/>
        </w:rPr>
        <w:t>Катав-Ивановском</w:t>
      </w:r>
      <w:proofErr w:type="gramEnd"/>
      <w:r>
        <w:rPr>
          <w:color w:val="000000" w:themeColor="text1"/>
          <w:sz w:val="27"/>
          <w:szCs w:val="27"/>
        </w:rPr>
        <w:t xml:space="preserve"> муниципальном районе Контрольно-счетная палата является участником всех этапов бюджетного процесса. 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Правовое регулирование организации и деятельности Контрольно-счетной палаты регламентируется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нормативными правовыми актами. 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В 2017 году Контрольно-счетная палата осуществляла контрольную, экспертно-аналитическую, информационную и иные виды деятельности, обеспечивая единую систему внешнего муниципального финансового </w:t>
      </w:r>
      <w:proofErr w:type="gramStart"/>
      <w:r>
        <w:rPr>
          <w:color w:val="000000" w:themeColor="text1"/>
          <w:sz w:val="27"/>
          <w:szCs w:val="27"/>
        </w:rPr>
        <w:t>контроля за</w:t>
      </w:r>
      <w:proofErr w:type="gramEnd"/>
      <w:r>
        <w:rPr>
          <w:color w:val="000000" w:themeColor="text1"/>
          <w:sz w:val="27"/>
          <w:szCs w:val="27"/>
        </w:rPr>
        <w:t xml:space="preserve"> исполнением районного бюджета, а также бюджетов двух городских и семи сельских поселений.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Контроль осуществлялся в соответствии с планом работы, рассмотренным Коллегией Контрольно-счетной палаты, и утвержденным распоряжением Контрольно-счетной палаты от 19.12.2016 № 33-р (с изменениями от 15.11.2017 № 17-р).</w:t>
      </w:r>
    </w:p>
    <w:p w:rsidR="00B724B4" w:rsidRDefault="00B724B4" w:rsidP="00B724B4">
      <w:pPr>
        <w:ind w:firstLine="709"/>
        <w:jc w:val="both"/>
        <w:rPr>
          <w:i/>
          <w:color w:val="FF0000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b/>
          <w:i/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t>2.Контрольная деятельность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Всего проведено за 2017 год 11 контрольных мероприятий, в том числе: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 Соблюдение норматива расходов бюджета на оплату труда депутатов, выборных должностных лиц местного самоуправления, осуществляющих свои полномочия на постоянной основе и муниципальных служащих за 2016 год.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Использование субсидии, выделенной из бюджета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 АНО «Авангард».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Эффективность использования бюджетных средств на социальное обеспечение населения и обеспечение деятельности Управления социальной защиты населения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 и его подведомственного учреждения Комплексный центр социального обслуживания населения.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4) Анализ финансово – хозяйственной деятельности МУП «Юрюзанская территориальная компания» за 2015 год, 2016 год.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5) Анализ финансово – хозяйственной деятельности МУП «ТеплоЭнерго» за 2015- 2016 годы.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6) Анализ эффективности использования бюджетных средств на обеспечение деятельности администрации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городского поселения. Анализ эффективности использования муниципального имущества за 2016 год, первое полугодие 2017 года.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7) Аудит закупок за 2016 год, 1 полугодие 2017 года в Управлении культуры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района, Администрации Юрюзанского городского поселения.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8) Анализ эффективности использования бюджетных средств на обеспечение деятельности Комитета имущественных отношений администрации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района. Анализ эффективности использования муниципального имущества за 2016 год, 1 полугодие 2017 года.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9) Анализ финансово-хозяйственной деятельности, в том числе выполнение муниципального задания МБУ «Многофункциональный центр предоставления государственных и муниципальных услуг»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 с 01.03.2015 по 31.10.2017.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10) Анализ эффективности использования бюджетных средств, выделенных на реализацию приоритетного проекта «Формирование современной городской среды Катав-Ивановского городского поселения на 2017 год».</w:t>
      </w:r>
      <w:proofErr w:type="gramEnd"/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11) Анализ финансово-хозяйственной деятельности за 2016 год, 9 месяцев 2017 года Межмуниципального ООО «</w:t>
      </w:r>
      <w:proofErr w:type="gramStart"/>
      <w:r>
        <w:rPr>
          <w:sz w:val="27"/>
          <w:szCs w:val="27"/>
        </w:rPr>
        <w:t>Катав-Ивановское</w:t>
      </w:r>
      <w:proofErr w:type="gramEnd"/>
      <w:r>
        <w:rPr>
          <w:sz w:val="27"/>
          <w:szCs w:val="27"/>
        </w:rPr>
        <w:t xml:space="preserve"> автотранспортное предприятие».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proofErr w:type="gramStart"/>
      <w:r>
        <w:rPr>
          <w:color w:val="000000" w:themeColor="text1"/>
          <w:sz w:val="27"/>
          <w:szCs w:val="27"/>
        </w:rPr>
        <w:t>Кроме того, проведено 4 экспертно-аналитических мероприятия, в том числе внешняя проверка годового отчета об исполнении бюджета и бюджетной отчетности главных администраторов бюджетных средств, внешняя проверка проектов решений об исполнении бюджетов, экспертиза проектов решений о бюджете на 2018 год и плановый период 2019-2020 годов, анализ эффективности использования бюджетных средств, выделенных на реализацию муниципальных программ, завершивших свое действие в 2016 году.</w:t>
      </w:r>
      <w:proofErr w:type="gramEnd"/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Всего охвачено при проведении контрольных мероприятий 29 объектов, в том числе: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14 органов местного самоуправления;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11 муниципальных учреждений;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2 </w:t>
      </w:r>
      <w:proofErr w:type="gramStart"/>
      <w:r>
        <w:rPr>
          <w:color w:val="000000" w:themeColor="text1"/>
          <w:sz w:val="27"/>
          <w:szCs w:val="27"/>
        </w:rPr>
        <w:t>муниципальных</w:t>
      </w:r>
      <w:proofErr w:type="gramEnd"/>
      <w:r>
        <w:rPr>
          <w:color w:val="000000" w:themeColor="text1"/>
          <w:sz w:val="27"/>
          <w:szCs w:val="27"/>
        </w:rPr>
        <w:t xml:space="preserve"> предприятия;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2 прочих организации.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Составлено 70 актов по проверенным объектам, в том числе 19 актов по внешней проверке годовой бюджетной отчетности. Проведено две встречные проверки.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Объем проверенных средств за 2017 год составил 2 037 729,11 тыс. рублей, в том числе 1 335 120,0 тыс. рублей средств местного бюджета. Установлено нарушений на сумму 769 090,19 тыс. рублей, в том числе: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lastRenderedPageBreak/>
        <w:t>- неэффективное использование средств на сумму 3 836,51 тыс. рублей;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нарушения законодательства о бухгалтерском учете и (или) требований по составлению бюджетной отчетности в сумме 398 236,84 тыс. рублей;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нарушения в учете и управлении имуществом, находящимся в областной и муниципальной собственности в сумме 311 224,32 тыс. рублей;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нарушения законодательства РФ о контрактной системе в сфере закупок товаров, работ, услуг для обеспечения муниципальных нужд в сумме 42 173,84 тыс. рублей;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- несоблюдение установленных процедур и требований бюджетного законодательства РФ при исполнении бюджета в сумме 13 618,68 тыс. рублей.</w:t>
      </w:r>
    </w:p>
    <w:p w:rsidR="00B724B4" w:rsidRDefault="00B724B4" w:rsidP="00B724B4">
      <w:pPr>
        <w:ind w:firstLine="709"/>
        <w:jc w:val="both"/>
        <w:rPr>
          <w:i/>
          <w:color w:val="FF0000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b/>
          <w:i/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t>3.Экспертно-аналитическая деятельность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В рамках осуществления экспертно-аналитической деятельности Контрольно-счетной палатой за 2017 год проведено 4 экспертно-аналитических мероприятий. 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1) Внешняя проверка годовой бюджетной отчетности главных администраторов бюджетных средств, Финансового управления администрации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муниципального района, как органа формирующего и исполняющего бюджет за 2016 год. Результаты внешней проверки оформлены 19 актами по каждому администратору бюджетных средств.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2) Заключения на проект решения Собрания депутатов «Об исполнении бюджета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муниципального района за 2016 год», заключения двух городских поселений «Об исполнении бюджета Катав-Ивановского городского поселения за 2016 год», «Об исполнении бюджета Юрюзанского городского поселения за 2016 год» и бюджетов семи сельских поселений. Результаты оформлены 10 заключениями.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3) В целях реализации задач, возложенных на Контрольно-счетную палату, в порядке предварительного контроля проведена экспертиза проекта решения Собрания депутатов «О районном бюджете на 2018 год и плановый период 2019-2020 годов». На основании результатов проведенной внешней проверки документов и материалов, использованных Финансовым управлением при подготовке проекта бюджета на очередной финансовый год и плановый период, анализа их соответствия основным нормативным документам, дано положительное заключение.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Также подготовлены аналогичные заключения двух городских поселений «О бюджете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городского поселения на 2018 год и на плановый период 2019-2020 годов», «О бюджете Юрюзанского городского поселения на 2018 год и на плановый период 2019-2020 годов» и бюджетов семи сельских поселений.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4) Проведен анализ эффективности использования бюджетных средств, выделенных на реализацию муниципальных программ, завершивших свое действие в 2016 году. По результатам проведенного экспертно-аналитического мероприятия составлен один акт.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i/>
          <w:color w:val="000000" w:themeColor="text1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b/>
          <w:i/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lastRenderedPageBreak/>
        <w:t>4.Реализация результатов контрольных и экспертно-аналитических мероприятий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Результаты контрольных мероприятий рассмотрены Коллегией Контрольно-счетной палаты.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Материалы контрольных и экспертно-аналитических мероприятий направлены Главе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муниципального района, председателю Собрания депутатов Катав-Ивановского муниципального района, материалы экспертно-аналитических мероприятий в Советы депутатов и главам городских поселений. Некоторые итоги проверок рассматривались на комиссии при Главе района, на комиссии по противодействию коррупции. Информация о результатах экспертно-аналитических мероприятий по исполнению бюджетов, по проектам бюджетов </w:t>
      </w:r>
      <w:proofErr w:type="gramStart"/>
      <w:r>
        <w:rPr>
          <w:color w:val="000000" w:themeColor="text1"/>
          <w:sz w:val="27"/>
          <w:szCs w:val="27"/>
        </w:rPr>
        <w:t>Катав-Ивановского</w:t>
      </w:r>
      <w:proofErr w:type="gramEnd"/>
      <w:r>
        <w:rPr>
          <w:color w:val="000000" w:themeColor="text1"/>
          <w:sz w:val="27"/>
          <w:szCs w:val="27"/>
        </w:rPr>
        <w:t xml:space="preserve"> муниципального района и Катав-Ивановского городского поселения представлялась на заседаниях Собрания депутатов Катав-Ивановского муниципального района и Совета депутатов Катав-Ивановского городского поселения.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По материалам контрольных мероприятий руководителям учреждений направлено 7 представлений для принятия мер по устранению выявленных нарушений.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Устранено финансовых нарушений за 2017 год на сумму 270 000,49 тыс. рублей (35,1% от выявленных нарушений).</w:t>
      </w:r>
    </w:p>
    <w:p w:rsidR="00B724B4" w:rsidRDefault="00B724B4" w:rsidP="00B724B4">
      <w:pPr>
        <w:ind w:firstLine="709"/>
        <w:jc w:val="both"/>
        <w:rPr>
          <w:color w:val="FF0000"/>
          <w:sz w:val="27"/>
          <w:szCs w:val="27"/>
        </w:rPr>
      </w:pPr>
      <w:r>
        <w:rPr>
          <w:color w:val="000000" w:themeColor="text1"/>
          <w:sz w:val="27"/>
          <w:szCs w:val="27"/>
        </w:rPr>
        <w:t>Часть нарушений ущерба бюджету не нанесли, такие как несоответствие бюджетной отчетности, данным аналитического учета, нарушение сроков предоставления документов, несвоевременное размещение документов и их опубликование в единой информационной системе в сфере закупок товаров, работ, услуг для обеспечения государственных и муниципальных нужд.</w:t>
      </w:r>
    </w:p>
    <w:p w:rsidR="00B724B4" w:rsidRDefault="00B724B4" w:rsidP="00B724B4">
      <w:pPr>
        <w:ind w:firstLine="709"/>
        <w:jc w:val="both"/>
        <w:rPr>
          <w:bCs/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Среди нарушений неустранимыми в основном являются, </w:t>
      </w:r>
      <w:r>
        <w:rPr>
          <w:bCs/>
          <w:color w:val="000000" w:themeColor="text1"/>
          <w:sz w:val="27"/>
          <w:szCs w:val="27"/>
        </w:rPr>
        <w:t>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излишнее начисление или необоснованное начисление и выплата заработной платы, неэффективное использование средств.</w:t>
      </w:r>
    </w:p>
    <w:p w:rsidR="00B724B4" w:rsidRDefault="00B724B4" w:rsidP="00B724B4">
      <w:pPr>
        <w:ind w:firstLine="709"/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 xml:space="preserve">По результатам контрольных и экспертно-аналитических мероприятий объектами контроля внесены изменения в бухгалтерскую (бюджетную) отчетность, документы бухгалтерского бюджетного учета, в локальные акты учреждений, приняты меры по устранению выявленных нарушений законодательства о бухгалтерском учете и законодательства в сфере закупок товаров, работ, услуг для обеспечения государственных и муниципальных нужд. </w:t>
      </w:r>
    </w:p>
    <w:p w:rsidR="00B724B4" w:rsidRDefault="00B724B4" w:rsidP="00B724B4">
      <w:pPr>
        <w:ind w:firstLine="709"/>
        <w:jc w:val="center"/>
        <w:rPr>
          <w:bCs/>
          <w:i/>
          <w:color w:val="000000" w:themeColor="text1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b/>
          <w:bCs/>
          <w:i/>
          <w:color w:val="000000" w:themeColor="text1"/>
          <w:sz w:val="27"/>
          <w:szCs w:val="27"/>
        </w:rPr>
      </w:pPr>
      <w:r>
        <w:rPr>
          <w:b/>
          <w:bCs/>
          <w:i/>
          <w:color w:val="000000" w:themeColor="text1"/>
          <w:sz w:val="27"/>
          <w:szCs w:val="27"/>
        </w:rPr>
        <w:t>5.Гласность</w:t>
      </w:r>
    </w:p>
    <w:p w:rsidR="00B724B4" w:rsidRDefault="00B724B4" w:rsidP="00B724B4">
      <w:pPr>
        <w:ind w:firstLine="709"/>
        <w:jc w:val="both"/>
        <w:rPr>
          <w:bCs/>
          <w:color w:val="000000" w:themeColor="text1"/>
          <w:sz w:val="27"/>
          <w:szCs w:val="27"/>
        </w:rPr>
      </w:pPr>
      <w:proofErr w:type="gramStart"/>
      <w:r>
        <w:rPr>
          <w:bCs/>
          <w:color w:val="000000" w:themeColor="text1"/>
          <w:sz w:val="27"/>
          <w:szCs w:val="27"/>
        </w:rPr>
        <w:t xml:space="preserve">На официальном сайте Администрации Катав-Ивановского муниципального района </w:t>
      </w:r>
      <w:r>
        <w:rPr>
          <w:bCs/>
          <w:color w:val="000000" w:themeColor="text1"/>
          <w:sz w:val="27"/>
          <w:szCs w:val="27"/>
          <w:lang w:val="en-US"/>
        </w:rPr>
        <w:t>katavivan</w:t>
      </w:r>
      <w:r>
        <w:rPr>
          <w:bCs/>
          <w:color w:val="000000" w:themeColor="text1"/>
          <w:sz w:val="27"/>
          <w:szCs w:val="27"/>
        </w:rPr>
        <w:t>.</w:t>
      </w:r>
      <w:r>
        <w:rPr>
          <w:bCs/>
          <w:color w:val="000000" w:themeColor="text1"/>
          <w:sz w:val="27"/>
          <w:szCs w:val="27"/>
          <w:lang w:val="en-US"/>
        </w:rPr>
        <w:t>ru</w:t>
      </w:r>
      <w:r>
        <w:rPr>
          <w:bCs/>
          <w:color w:val="000000" w:themeColor="text1"/>
          <w:sz w:val="27"/>
          <w:szCs w:val="27"/>
        </w:rPr>
        <w:t xml:space="preserve"> в разделе «Органы власти» страница «Контрольно – счетная палата» размещено 7 публикаций (план работы, изменения в план работы, годовой отчет о работе за 2016 год, Положение Контрольно-счетной палаты (с изменениями).</w:t>
      </w:r>
      <w:proofErr w:type="gramEnd"/>
    </w:p>
    <w:p w:rsidR="00B724B4" w:rsidRDefault="00B724B4" w:rsidP="00B724B4">
      <w:pPr>
        <w:ind w:firstLine="709"/>
        <w:jc w:val="center"/>
        <w:rPr>
          <w:bCs/>
          <w:i/>
          <w:color w:val="000000" w:themeColor="text1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bCs/>
          <w:i/>
          <w:color w:val="000000" w:themeColor="text1"/>
          <w:sz w:val="27"/>
          <w:szCs w:val="27"/>
        </w:rPr>
      </w:pPr>
    </w:p>
    <w:p w:rsidR="00B724B4" w:rsidRDefault="00B724B4" w:rsidP="00B724B4">
      <w:pPr>
        <w:ind w:firstLine="709"/>
        <w:jc w:val="center"/>
        <w:rPr>
          <w:b/>
          <w:bCs/>
          <w:i/>
          <w:color w:val="000000" w:themeColor="text1"/>
          <w:sz w:val="27"/>
          <w:szCs w:val="27"/>
        </w:rPr>
      </w:pPr>
      <w:r>
        <w:rPr>
          <w:b/>
          <w:bCs/>
          <w:i/>
          <w:color w:val="000000" w:themeColor="text1"/>
          <w:sz w:val="27"/>
          <w:szCs w:val="27"/>
        </w:rPr>
        <w:lastRenderedPageBreak/>
        <w:t>6.Финансовое обеспечение</w:t>
      </w:r>
    </w:p>
    <w:p w:rsidR="00B724B4" w:rsidRDefault="00B724B4" w:rsidP="00B724B4">
      <w:pPr>
        <w:ind w:firstLine="709"/>
        <w:jc w:val="both"/>
        <w:rPr>
          <w:bCs/>
          <w:color w:val="FF0000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На содержание Контрольно-счетной палаты в 2017 году использовано           2 750,5 тыс. рублей. С городскими и сельскими поселениями работа проводилась на основании соглашений о передаче полномочий по осуществлению внешнего финансового контроля.</w:t>
      </w:r>
    </w:p>
    <w:p w:rsidR="00B724B4" w:rsidRDefault="00B724B4" w:rsidP="00B724B4">
      <w:pPr>
        <w:ind w:firstLine="709"/>
        <w:jc w:val="both"/>
        <w:rPr>
          <w:bCs/>
          <w:color w:val="FF0000"/>
          <w:sz w:val="27"/>
          <w:szCs w:val="27"/>
        </w:rPr>
      </w:pPr>
    </w:p>
    <w:p w:rsidR="00B724B4" w:rsidRDefault="00B724B4" w:rsidP="00B724B4">
      <w:pPr>
        <w:ind w:firstLine="709"/>
        <w:jc w:val="both"/>
        <w:rPr>
          <w:bCs/>
          <w:i/>
          <w:color w:val="000000" w:themeColor="text1"/>
          <w:sz w:val="27"/>
          <w:szCs w:val="27"/>
        </w:rPr>
      </w:pPr>
      <w:r>
        <w:rPr>
          <w:bCs/>
          <w:i/>
          <w:color w:val="000000" w:themeColor="text1"/>
          <w:sz w:val="27"/>
          <w:szCs w:val="27"/>
        </w:rPr>
        <w:t>Основные нарушения, выявленные при проведении контрольных мероприятий</w:t>
      </w:r>
    </w:p>
    <w:p w:rsidR="00B724B4" w:rsidRDefault="00B724B4" w:rsidP="00B724B4">
      <w:pPr>
        <w:ind w:firstLine="709"/>
        <w:jc w:val="both"/>
        <w:rPr>
          <w:b/>
          <w:bCs/>
          <w:i/>
          <w:color w:val="000000" w:themeColor="text1"/>
          <w:sz w:val="27"/>
          <w:szCs w:val="27"/>
        </w:rPr>
      </w:pPr>
    </w:p>
    <w:p w:rsidR="00B724B4" w:rsidRDefault="00B724B4" w:rsidP="00B724B4">
      <w:pPr>
        <w:ind w:firstLine="709"/>
        <w:jc w:val="both"/>
        <w:rPr>
          <w:bCs/>
          <w:color w:val="000000" w:themeColor="text1"/>
          <w:sz w:val="27"/>
          <w:szCs w:val="27"/>
        </w:rPr>
      </w:pPr>
      <w:r>
        <w:rPr>
          <w:b/>
          <w:bCs/>
          <w:i/>
          <w:color w:val="000000" w:themeColor="text1"/>
          <w:sz w:val="27"/>
          <w:szCs w:val="27"/>
        </w:rPr>
        <w:t>1. Неэффективное использование бюджетных сре</w:t>
      </w:r>
      <w:proofErr w:type="gramStart"/>
      <w:r>
        <w:rPr>
          <w:b/>
          <w:bCs/>
          <w:i/>
          <w:color w:val="000000" w:themeColor="text1"/>
          <w:sz w:val="27"/>
          <w:szCs w:val="27"/>
        </w:rPr>
        <w:t>дств в с</w:t>
      </w:r>
      <w:proofErr w:type="gramEnd"/>
      <w:r>
        <w:rPr>
          <w:b/>
          <w:bCs/>
          <w:i/>
          <w:color w:val="000000" w:themeColor="text1"/>
          <w:sz w:val="27"/>
          <w:szCs w:val="27"/>
        </w:rPr>
        <w:t xml:space="preserve">умме </w:t>
      </w:r>
      <w:r>
        <w:rPr>
          <w:bCs/>
          <w:color w:val="000000" w:themeColor="text1"/>
          <w:sz w:val="27"/>
          <w:szCs w:val="27"/>
        </w:rPr>
        <w:t>3 836,51 тыс. рублей: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переплата за потребление электроэнергии;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необоснованные расходы ГСМ;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переплата по заработной плате;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уплата пени за несвоевременную уплату налога, непредъявление пени заказчиком подрядчикам (исполнителям, поставщикам) за просрочку исполнения обязательств;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переплата по авансовым отчетам;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заключение контрактов на консультационные услуги при заключении соглашения на передачу полномочий;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превышение лимитов по уличному освещению;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оплата работ по неисполненным муниципальным контрактам;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необоснованное признание семьи участником программы, что привело к необоснованной выплате;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не используется функционал программы АСГОР «Имущество» в части отчетов, не ведется реестр, учет аренды, пеней, претензионной работы;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не подтвердились работы, оплаченные по актам при проведении контрольных обмеров;</w:t>
      </w:r>
    </w:p>
    <w:p w:rsidR="00B724B4" w:rsidRDefault="00B724B4" w:rsidP="00B724B4">
      <w:pPr>
        <w:jc w:val="both"/>
        <w:rPr>
          <w:bCs/>
          <w:color w:val="000000" w:themeColor="text1"/>
          <w:sz w:val="27"/>
          <w:szCs w:val="27"/>
        </w:rPr>
      </w:pPr>
      <w:r>
        <w:rPr>
          <w:bCs/>
          <w:color w:val="000000" w:themeColor="text1"/>
          <w:sz w:val="27"/>
          <w:szCs w:val="27"/>
        </w:rPr>
        <w:t>- оплата штрафов вследствие несвоевременного перечисления страховых взносов.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t xml:space="preserve">2. Нарушения законодательства о бухгалтерском учете и (или) требований по составлению бюджетной отчетности в сумме </w:t>
      </w:r>
      <w:r>
        <w:rPr>
          <w:color w:val="000000" w:themeColor="text1"/>
          <w:sz w:val="27"/>
          <w:szCs w:val="27"/>
        </w:rPr>
        <w:t>398 236,84 тыс. рублей:</w:t>
      </w:r>
    </w:p>
    <w:p w:rsidR="00B724B4" w:rsidRDefault="00B724B4" w:rsidP="00B724B4">
      <w:pPr>
        <w:jc w:val="both"/>
        <w:rPr>
          <w:i/>
          <w:color w:val="000000" w:themeColor="text1"/>
          <w:sz w:val="27"/>
          <w:szCs w:val="27"/>
        </w:rPr>
      </w:pPr>
      <w:r>
        <w:rPr>
          <w:i/>
          <w:color w:val="000000" w:themeColor="text1"/>
          <w:sz w:val="27"/>
          <w:szCs w:val="27"/>
        </w:rPr>
        <w:t>- в нарушение Закона № 402-ФЗ:</w:t>
      </w:r>
    </w:p>
    <w:p w:rsidR="00B724B4" w:rsidRDefault="00B724B4" w:rsidP="00B724B4">
      <w:pPr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     - к проверке не представлены акты о приемке выполненных работ по договорам подряда; </w:t>
      </w:r>
    </w:p>
    <w:p w:rsidR="00B724B4" w:rsidRDefault="00B724B4" w:rsidP="00B724B4">
      <w:pPr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     - бухгалтерская отчетность недостоверна в виду искажения данных о дебиторской и кредиторской задолженности;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     - </w:t>
      </w:r>
      <w:r>
        <w:rPr>
          <w:sz w:val="27"/>
          <w:szCs w:val="27"/>
        </w:rPr>
        <w:t>к учету принят земельный участок позднее фактической передачи;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данные оборотно - сальдовой ведомости по счету 70 не соответствуют фактически выплаченной заработной плате;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данные оборотно - сальдовой ведомости не соответствуют данным авансовых отчетов;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имущество, находящееся на праве хозяйственного ведения не отражено на балансе;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- бюджетная отчетность на отчетные даты занижена по счету 01 «Имущество, полученное в пользование»;</w:t>
      </w:r>
    </w:p>
    <w:p w:rsidR="00B724B4" w:rsidRDefault="00B724B4" w:rsidP="00B724B4">
      <w:pPr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- в нарушение Указаний № 3210-У: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установлены случаи выдачи денежных средств под отчет при непогашенной задолженности;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несвоевременной сдачи авансовых отчетов;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неполного отражения выручки;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отсутствия подписи главного бухгалтера на кассовых документах;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отсутствия заявления в отчете кассира;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отсутствия оправдательных документов; 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- отсутствие РКО в отчете кассира;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требований п. 144 Инструкции № 157н, ст. 13 Закона № 402-ФЗ отчетность по счету 108.51 занижена в связи с учетом движимого имущества в количестве 88 единиц по счету 108.51 «Недвижимое имущество в составе имущества казны»;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ст. 145 Инструкции № 157н, п. 7 Инструкции № 191н данные реестра казны не соответствуют данным бюджетной отчетности;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п. 381 Инструкции № 157н, п. 20 Инструкции № 191н, ст. 13 Закона № 402-ФЗ в справке о наличии имущества и обязательств на забалансовом счете (ф. 0503130) на 01.01.2016, 01.01.2017, 01.07.2017 не осуществлялся учет имущества;</w:t>
      </w:r>
    </w:p>
    <w:p w:rsidR="00B724B4" w:rsidRDefault="00B724B4" w:rsidP="00B724B4">
      <w:pPr>
        <w:jc w:val="both"/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t>- в нарушение п. 37,53,67 Инструкции № 157н, ст. 13 Закона № 402-ФЗ в учете в составе объектов иного движимого имущества необоснованно числится 30 объектов, особо ценного движимого имущества.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t xml:space="preserve">3. Нарушения в учете и управлении имуществом, находящимся в муниципальной собственности в сумме </w:t>
      </w:r>
      <w:r>
        <w:rPr>
          <w:color w:val="000000" w:themeColor="text1"/>
          <w:sz w:val="27"/>
          <w:szCs w:val="27"/>
        </w:rPr>
        <w:t>311 224,32 тыс. рублей: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>- в</w:t>
      </w:r>
      <w:r>
        <w:rPr>
          <w:sz w:val="27"/>
          <w:szCs w:val="27"/>
        </w:rPr>
        <w:t xml:space="preserve"> нарушение п. 2.2. Порядка определения видов особо ценного имущества неверно отнесено имущество к особо ценному имуществу;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>- закрепленное имущество на праве оперативного управления отсутствует по указанным адресам;</w:t>
      </w: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приказа Минфина от 31.10.2000 № 94н не осуществляется учет нежилых зданий, переданных Предприятию на праве хозяйственного ведения;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ст. 131 ГК РФ отсутствует регистрация права собственности по договорам о закреплении имущества на праве хозяйственного ведения;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переданное имущество на праве хозяйственного ведения и по договорам аренды фактически не используется;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ст. 39. п. 11,12 Земельного кодекса РФ отсутствует соглашение об установлении сервитута в отношении земельного участка;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п. 7 Инструкции № 191н данные главной книги не соответствует данным реестра казны в части стоимости движимого и недвижимого имущества;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реестре не отражено муниципальное имущество, находящееся в подведомственных учреждениях;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в нарушение ст. 215 Гражданского кодекса РФ в казне муниципального имущества ошибочно учтено имущество, переданное по договорам оперативного управления;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нарушение требований Порядка ведения реестра в реестре муниципальной собственности не отражены сведения о размере доли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в уставном капитале МООО «АТП»;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t>- в нарушение требований Положения о реестре в реестре муниципального имущества отражено все муниципальное имущество, в том числе и имущество стоимостью до 1,0 тыс. рублей, в количестве 135 единиц.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t xml:space="preserve">4.Нарушения законодательства Российской Федерации о контрактной системе в сфере закупок товаров, работ, услуг для обеспечения муниципальных нужд в сумме </w:t>
      </w:r>
      <w:r>
        <w:rPr>
          <w:color w:val="000000" w:themeColor="text1"/>
          <w:sz w:val="27"/>
          <w:szCs w:val="27"/>
        </w:rPr>
        <w:t>42 173,84 тыс. рублей: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>- н</w:t>
      </w:r>
      <w:r>
        <w:rPr>
          <w:sz w:val="27"/>
          <w:szCs w:val="27"/>
        </w:rPr>
        <w:t>еправильный метод определения НМЦК в нарушение п. 6.8. ст. 22 Закона № 44-ФЗ;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ч. 3 ст. 94 Закона № 44-ФЗ учреждение приняло результаты исполнения контракта, не соответствующее условиям документации о закупке и условиям заключенного муниципального контракта;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Закона № 44-ФЗ заключались муниципальные контракты с единственным исполнителем на основании п. 9 ч. 1 ст. 93 Закона № 44-ФЗ;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ч. 2 ст. 93 Закона № 44-ФЗ, извещения об осуществлении закупок в ЕИС размещено с нарушением сроков;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ч. 9 ст. 94 Закона № 44-ФЗ в ЕИС не размещены результаты исполнения контрактов, оплаченных в 2015, 2016 годах;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ч. 3 ст. 103 Закона № 44-ФЗ информация в реестре контрактов о заключенных контрактах размещена с нарушением сроков;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t>- в нарушение требований ч.1,3 ст. 17 Федерального закона от 26.07.2006 № 135-ФЗ «О защите конкуренции» и ст. 8 Закона № 44-ФЗ в один лот объединены работы, несвязанные между собой технологически и функционально, что могло привести к недопущению, ограничению или устранению конкуренции.</w:t>
      </w:r>
    </w:p>
    <w:p w:rsidR="00B724B4" w:rsidRDefault="00B724B4" w:rsidP="00B724B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b/>
          <w:i/>
          <w:color w:val="000000" w:themeColor="text1"/>
          <w:sz w:val="27"/>
          <w:szCs w:val="27"/>
        </w:rPr>
        <w:t xml:space="preserve">5. Несоблюдение установленных процедур и требований бюджетного законодательства Российской Федерации при исполнении бюджета в общей сумме  </w:t>
      </w:r>
      <w:r>
        <w:rPr>
          <w:color w:val="000000" w:themeColor="text1"/>
          <w:sz w:val="27"/>
          <w:szCs w:val="27"/>
        </w:rPr>
        <w:t>13 618,68 тыс. рублей: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>- в</w:t>
      </w:r>
      <w:r>
        <w:rPr>
          <w:sz w:val="27"/>
          <w:szCs w:val="27"/>
        </w:rPr>
        <w:t xml:space="preserve"> нарушение Указаний о порядке применения бюджетной классификации расходы отнесены на несоответствующую статью расходов;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превышение фактических расходов на оплату труда над утвержденным фондом оплаты труда, согласно штатному расписанию;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превышение установленного норматива на оплату труда депутатов, выборных должностных лиц местного самоуправления, осуществляющих свои полномочия на постоянной основе и муниципальных служащих;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нарушение п. 3 ст. 41 Бюджетного кодекса РФ арендная плата по договорам аренды имущества, находящегося в оперативном управлении бюджетного учреждения (ГБУЗ «Районная больница») зачислялась в бюджет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в нарушение локальных актов по оплате труда не производилось начисление районного коэффициента на премию за добросовестный труд;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в нарушение ст. 139 Трудового кодекса РФ не начислена и не выплачена компенсация работнику при увольнении;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неправомерно установлены оклады и надбавки по заработной плате;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color w:val="000000" w:themeColor="text1"/>
          <w:sz w:val="27"/>
          <w:szCs w:val="27"/>
        </w:rPr>
        <w:t>- заказчиком</w:t>
      </w:r>
      <w:r>
        <w:rPr>
          <w:sz w:val="27"/>
          <w:szCs w:val="27"/>
        </w:rPr>
        <w:t xml:space="preserve"> требование об уплате неустойки за несвоевременное исполнение обязательств по муниципальному контракту подрядчику не направлялась;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сметная документация на ремонт с асфальтированием дворовых территорий и обустройством общественной территории не имела положительного заключения ОГАУ «Госэкспертиза Челябинской области» и не проходила проверку достоверности сметной стоимости, что не отвечает требованиям ч. 3 ст. 49 Градостроительного кодекса РФ;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ненадлежащее исполнение полномочий администратора доходов повлекшее снижение поступления неналоговых доходов, что не отвечает требованиям п. 2 ст. 160.1. БК РФ;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условия договора аренды не соответствуют условиям аукционной документации, в результате чего недополучены доходы за период февраль-июнь 2017 года (п.2 ст. 160.1 БК РФ);</w:t>
      </w:r>
    </w:p>
    <w:p w:rsidR="00B724B4" w:rsidRDefault="00B724B4" w:rsidP="00B724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учреждением не начислялись пени за просрочку платежей за аренду имущества, в результате доход от собственности в виде начисленной пени за просрочку платежей в бюджет не получен.</w:t>
      </w:r>
    </w:p>
    <w:p w:rsidR="00B724B4" w:rsidRDefault="00B724B4" w:rsidP="00B724B4">
      <w:pPr>
        <w:jc w:val="both"/>
        <w:rPr>
          <w:sz w:val="27"/>
          <w:szCs w:val="27"/>
        </w:rPr>
      </w:pPr>
    </w:p>
    <w:p w:rsidR="00B724B4" w:rsidRDefault="00B724B4" w:rsidP="00B724B4">
      <w:pPr>
        <w:jc w:val="both"/>
        <w:rPr>
          <w:sz w:val="27"/>
          <w:szCs w:val="27"/>
        </w:rPr>
      </w:pPr>
    </w:p>
    <w:p w:rsidR="00B724B4" w:rsidRDefault="00B724B4" w:rsidP="00B724B4">
      <w:pPr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Контрольно-счетной палаты</w:t>
      </w:r>
    </w:p>
    <w:p w:rsidR="00B724B4" w:rsidRDefault="00B724B4" w:rsidP="00B724B4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                                       В.Р. Харрасов</w:t>
      </w:r>
    </w:p>
    <w:p w:rsidR="00B724B4" w:rsidRDefault="00B724B4" w:rsidP="00B724B4"/>
    <w:p w:rsidR="003D46B8" w:rsidRDefault="003D46B8">
      <w:bookmarkStart w:id="0" w:name="_GoBack"/>
      <w:bookmarkEnd w:id="0"/>
    </w:p>
    <w:sectPr w:rsidR="003D4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C4D56"/>
    <w:multiLevelType w:val="hybridMultilevel"/>
    <w:tmpl w:val="4662925E"/>
    <w:lvl w:ilvl="0" w:tplc="9A4017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1C"/>
    <w:rsid w:val="00257C1C"/>
    <w:rsid w:val="003D46B8"/>
    <w:rsid w:val="00B7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4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724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5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13465</Words>
  <Characters>76751</Characters>
  <Application>Microsoft Office Word</Application>
  <DocSecurity>0</DocSecurity>
  <Lines>639</Lines>
  <Paragraphs>180</Paragraphs>
  <ScaleCrop>false</ScaleCrop>
  <Company>SPecialiST RePack</Company>
  <LinksUpToDate>false</LinksUpToDate>
  <CharactersWithSpaces>90036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2018-03-20T08:39:00Z</dcterms:created>
  <dcterms:modified xsi:type="dcterms:W3CDTF">2018-03-20T08:39:00Z</dcterms:modified>
</cp:coreProperties>
</file>